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5" w:rsidRDefault="00B413B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413B5" w:rsidRPr="00E16ED2" w:rsidRDefault="00B413B5" w:rsidP="0067778D">
      <w:pPr>
        <w:spacing w:before="240"/>
        <w:jc w:val="center"/>
        <w:rPr>
          <w:rFonts w:ascii="Segoe UI" w:hAnsi="Segoe UI" w:cs="Segoe UI"/>
          <w:kern w:val="0"/>
          <w:sz w:val="32"/>
          <w:szCs w:val="32"/>
          <w:lang w:eastAsia="sk-SK" w:bidi="ar-SA"/>
        </w:rPr>
      </w:pPr>
      <w:r w:rsidRPr="008E6652">
        <w:rPr>
          <w:rFonts w:ascii="Segoe UI" w:hAnsi="Segoe UI" w:cs="Segoe UI"/>
          <w:kern w:val="0"/>
          <w:sz w:val="32"/>
          <w:szCs w:val="32"/>
          <w:lang w:eastAsia="sk-SK" w:bidi="ar-SA"/>
        </w:rPr>
        <w:t>Государственная кадастровая оценка объектов недвижимости на Ставрополье в 2015 году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Управление Росреестра Ставропольского края отвечает жителям на вопросы о кадастровой стоимости принадлежащих им земельных участков и объектов капитального строительства.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 xml:space="preserve">В 2015 году на территории Ставропольского края Министерством имущественных отношений Ставропольского края организовано проведение государственной кадастровой оценки объектов недвижимости. 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Работы по государственной кадастровой оценке объектов недвижимости планируется завершить к концу текущего года изданием нормативно-правового акта об утверждении полученных результатов, которые вступят в силу и будут применяться с 1 января 2016 года.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Изменение кадастровой стоимости объектов недвижимости происходит в результате государственной кадастровой оценки, проводимой по решению органа местного самоуправления не чаще чем один раз в течение трех лет и не реже чем один раз в течение пяти лет с даты, по состоянию на которую была проведена государственная кадастровая оценка, в соответствии с Федеральным законом от 29.07.1998 № 135-ФЗ «Об оценочной деятельности в Российской Федерации».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Так в настоящее время в соответствии с приказами Министерства имущественных отношений Ставропольского края на территории Ставрополья проводятся работы по государственной кадастровой оценке объектов капитального строительства, категории земель населенных пунктов и земель сельскохозяйственного назначения, а также земель садоводческих, огороднических объединений, расположенных на землях сельскохозяйственного назначения. Перечни объектов недвижимости, подлежащих государственной кадастровой оценке, сформированы по состоянию на 1 января 2015 года.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Комиссия по рассмотрению споров о результатах определения кадастровой стоимости осуществляет свою деятельность при Управлении Росреестра по Ставропольскому краю. Оспорить результаты в комиссии возможно в связи с недостоверностью сведений об объекте недвижимости, использованных при определении его кадастровой стоимости, а также установлением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Информация о работе комиссии размещена на официальном сайте  Управления Росреестра по Ставропольскому краю www.to26.rosreestr.ru, в разделе «Кадастровый учет», в подразделе «Рассмотрение споров о результатах определения кадастровой стоимости».</w:t>
      </w:r>
    </w:p>
    <w:p w:rsidR="00B413B5" w:rsidRPr="008E6652" w:rsidRDefault="00B413B5" w:rsidP="008E6652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При подаче заявлений заинтересованным лицам следует учитывать периодичность проведения государственной кадастровой оценки объектов недвижимости, предусмотренную действующим законодательством, а также актуальную информацию о принятии исполнительными органами власти Ставропольского края нормативно-правового акта об исчислении налога на объекты капитального строительства для физических лиц, исходя из кадастровой стоимости.</w:t>
      </w:r>
    </w:p>
    <w:p w:rsidR="00B413B5" w:rsidRPr="00EC4E8A" w:rsidRDefault="00B413B5" w:rsidP="00412E58">
      <w:pPr>
        <w:spacing w:before="240"/>
        <w:jc w:val="both"/>
        <w:rPr>
          <w:lang w:eastAsia="en-US"/>
        </w:rPr>
      </w:pPr>
      <w:r w:rsidRPr="008E6652">
        <w:rPr>
          <w:rFonts w:ascii="Segoe UI" w:hAnsi="Segoe UI" w:cs="Segoe UI"/>
          <w:color w:val="000000"/>
          <w:kern w:val="0"/>
          <w:lang w:eastAsia="ru-RU" w:bidi="ar-SA"/>
        </w:rPr>
        <w:t>В связи с этим следует отметить, в 2015 году на территории Ставропольского края налог от величины кадастровой стоимости объектов капитального строительства для физических лиц не применяется.</w:t>
      </w:r>
      <w:bookmarkStart w:id="0" w:name="_GoBack"/>
      <w:bookmarkEnd w:id="0"/>
    </w:p>
    <w:p w:rsidR="00B413B5" w:rsidRPr="00EC4E8A" w:rsidRDefault="00B413B5" w:rsidP="00B97BAB">
      <w:pPr>
        <w:pStyle w:val="NormalWeb"/>
        <w:spacing w:after="0"/>
        <w:rPr>
          <w:lang w:eastAsia="en-US"/>
        </w:rPr>
      </w:pPr>
    </w:p>
    <w:sectPr w:rsidR="00B413B5" w:rsidRPr="00EC4E8A" w:rsidSect="00DC2E98">
      <w:footerReference w:type="default" r:id="rId7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B5" w:rsidRDefault="00B413B5">
      <w:r>
        <w:separator/>
      </w:r>
    </w:p>
  </w:endnote>
  <w:endnote w:type="continuationSeparator" w:id="1">
    <w:p w:rsidR="00B413B5" w:rsidRDefault="00B4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B5" w:rsidRDefault="00B413B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413B5" w:rsidRDefault="00B41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B5" w:rsidRDefault="00B413B5">
      <w:r>
        <w:separator/>
      </w:r>
    </w:p>
  </w:footnote>
  <w:footnote w:type="continuationSeparator" w:id="1">
    <w:p w:rsidR="00B413B5" w:rsidRDefault="00B41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AA3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2E58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413B5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97BAB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25FE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E6803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6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8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451</Words>
  <Characters>2577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Ксенофонтова Светлана Николаевна</dc:creator>
  <cp:keywords/>
  <dc:description/>
  <cp:lastModifiedBy>..</cp:lastModifiedBy>
  <cp:revision>2</cp:revision>
  <cp:lastPrinted>2015-04-20T06:25:00Z</cp:lastPrinted>
  <dcterms:created xsi:type="dcterms:W3CDTF">2015-07-17T11:42:00Z</dcterms:created>
  <dcterms:modified xsi:type="dcterms:W3CDTF">2015-07-17T11:42:00Z</dcterms:modified>
</cp:coreProperties>
</file>