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7860C3">
        <w:rPr>
          <w:rFonts w:ascii="Segoe UI" w:hAnsi="Segoe UI" w:cs="Segoe UI"/>
          <w:b/>
          <w:noProof/>
          <w:lang w:eastAsia="sk-SK"/>
        </w:rPr>
        <w:t>ПРЕСС-РЕЛИЗ</w:t>
      </w:r>
    </w:p>
    <w:p w:rsidR="00103DCF" w:rsidRDefault="007860C3" w:rsidP="00103DCF">
      <w:pPr>
        <w:jc w:val="center"/>
        <w:rPr>
          <w:rFonts w:ascii="Segoe UI" w:eastAsia="Calibri" w:hAnsi="Segoe UI" w:cs="Segoe UI"/>
          <w:kern w:val="0"/>
          <w:sz w:val="28"/>
          <w:szCs w:val="28"/>
          <w:lang w:eastAsia="sk-SK" w:bidi="ar-SA"/>
        </w:rPr>
      </w:pPr>
      <w:r w:rsidRPr="007860C3">
        <w:rPr>
          <w:rFonts w:ascii="Segoe UI" w:eastAsia="Calibri" w:hAnsi="Segoe UI" w:cs="Segoe UI"/>
          <w:kern w:val="0"/>
          <w:sz w:val="28"/>
          <w:szCs w:val="28"/>
          <w:lang w:eastAsia="sk-SK" w:bidi="ar-SA"/>
        </w:rPr>
        <w:t xml:space="preserve">Отсутствие межевания не лишает права собственности, </w:t>
      </w:r>
    </w:p>
    <w:p w:rsidR="0067778D" w:rsidRPr="007860C3" w:rsidRDefault="007860C3" w:rsidP="00103DCF">
      <w:pPr>
        <w:jc w:val="center"/>
        <w:rPr>
          <w:rFonts w:ascii="Segoe UI" w:eastAsia="Calibri" w:hAnsi="Segoe UI" w:cs="Segoe UI"/>
          <w:kern w:val="0"/>
          <w:sz w:val="28"/>
          <w:szCs w:val="28"/>
          <w:lang w:eastAsia="sk-SK" w:bidi="ar-SA"/>
        </w:rPr>
      </w:pPr>
      <w:r w:rsidRPr="007860C3">
        <w:rPr>
          <w:rFonts w:ascii="Segoe UI" w:eastAsia="Calibri" w:hAnsi="Segoe UI" w:cs="Segoe UI"/>
          <w:kern w:val="0"/>
          <w:sz w:val="28"/>
          <w:szCs w:val="28"/>
          <w:lang w:eastAsia="sk-SK" w:bidi="ar-SA"/>
        </w:rPr>
        <w:t>но повышает риски споров о границах</w:t>
      </w:r>
    </w:p>
    <w:p w:rsidR="008F2E67" w:rsidRPr="008F2E67" w:rsidRDefault="002A6E29" w:rsidP="008F2E6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00971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Управление Росреестра по Ставропольскому краю</w:t>
      </w:r>
      <w:r w:rsid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напоминает, с</w:t>
      </w:r>
      <w:r w:rsidR="008F2E67"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8F2E67" w:rsidRPr="008F2E67" w:rsidRDefault="008F2E67" w:rsidP="008F2E6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При этом ни Законом № 218-ФЗ, ни иными нормативными правовыми актами не установлена обязанность правообладателей земельных участков </w:t>
      </w:r>
      <w:proofErr w:type="gramStart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обеспечить</w:t>
      </w:r>
      <w:proofErr w:type="gramEnd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8F2E67" w:rsidRPr="008F2E67" w:rsidRDefault="008F2E67" w:rsidP="008F2E6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участка, признается юридически действительной. </w:t>
      </w:r>
    </w:p>
    <w:p w:rsidR="008F2E67" w:rsidRPr="008F2E67" w:rsidRDefault="008F2E67" w:rsidP="008F2E6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В настоящее время Законом № 218-ФЗ не предусмотрены основания </w:t>
      </w:r>
      <w:proofErr w:type="gramStart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границы</w:t>
      </w:r>
      <w:proofErr w:type="gramEnd"/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3B5426" w:rsidRPr="003B5426" w:rsidRDefault="008F2E67" w:rsidP="008F2E67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8F2E67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Вместе с тем, Управление Росреестра по Ставропольскому краю рекомендует правообладателям земельных участков, не имеющих точных границ, рассмотреть возможность проведения межевания. Внесение в ЕГРН сведений о границах избавит правообладателей от проблем из-за возможных споров, в том числе с соседями и с органами публичной власти.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6917D1" w:rsidRPr="006917D1">
        <w:rPr>
          <w:rFonts w:ascii="Segoe UI" w:hAnsi="Segoe UI" w:cs="Segoe UI"/>
          <w:sz w:val="18"/>
          <w:szCs w:val="18"/>
        </w:rPr>
        <w:t>Исполняет обязанности руководителя Управления Росреестра по Ставропольскому краю Колесников Михаил Дмитриевич.</w:t>
      </w:r>
      <w:bookmarkStart w:id="0" w:name="_GoBack"/>
      <w:bookmarkEnd w:id="0"/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DA0267" w:rsidRDefault="00DA0267" w:rsidP="00DA0267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DA0267" w:rsidRDefault="00DA0267" w:rsidP="00DA0267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DA0267" w:rsidRPr="004B4A29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DA0267" w:rsidRPr="004B4A29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DA0267" w:rsidRPr="004B4A29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DA0267" w:rsidRDefault="00DA0267" w:rsidP="00DA0267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DA0267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556 500 (доб. 1309, 1328, 1362)</w:t>
      </w:r>
    </w:p>
    <w:p w:rsidR="00DA0267" w:rsidRPr="007779A5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DA0267" w:rsidRDefault="00E32AE5" w:rsidP="00DA026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DA026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DA0267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DA026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DA0267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A026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A0267" w:rsidRPr="00004840" w:rsidRDefault="00DA0267" w:rsidP="00DA026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DA0267" w:rsidRPr="00715BF7" w:rsidRDefault="00E32AE5" w:rsidP="00DA026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DA0267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DA0267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DA0267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DA0267" w:rsidRPr="00715BF7" w:rsidRDefault="00E32AE5" w:rsidP="00DA0267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DA0267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DA0267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DA0267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DA0267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DA0267" w:rsidRPr="00715BF7" w:rsidRDefault="00DA0267" w:rsidP="00DA0267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DA0267" w:rsidP="00DA0267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103DCF">
      <w:headerReference w:type="default" r:id="rId13"/>
      <w:pgSz w:w="11906" w:h="16838" w:code="9"/>
      <w:pgMar w:top="851" w:right="707" w:bottom="56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E5" w:rsidRDefault="00E32AE5">
      <w:r>
        <w:separator/>
      </w:r>
    </w:p>
  </w:endnote>
  <w:endnote w:type="continuationSeparator" w:id="0">
    <w:p w:rsidR="00E32AE5" w:rsidRDefault="00E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E5" w:rsidRDefault="00E32AE5">
      <w:r>
        <w:separator/>
      </w:r>
    </w:p>
  </w:footnote>
  <w:footnote w:type="continuationSeparator" w:id="0">
    <w:p w:rsidR="00E32AE5" w:rsidRDefault="00E3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D1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3DCF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17D1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860C3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8F2E67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1E23"/>
    <w:rsid w:val="00A35DCC"/>
    <w:rsid w:val="00A40F22"/>
    <w:rsid w:val="00A419FB"/>
    <w:rsid w:val="00A526C5"/>
    <w:rsid w:val="00A53C52"/>
    <w:rsid w:val="00A54DEC"/>
    <w:rsid w:val="00A550FE"/>
    <w:rsid w:val="00A650EC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95DA1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A0267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32AE5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mi@stav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04E9B-DE5A-41A6-BFED-A379633E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33</cp:revision>
  <cp:lastPrinted>2015-04-20T06:25:00Z</cp:lastPrinted>
  <dcterms:created xsi:type="dcterms:W3CDTF">2015-06-01T08:41:00Z</dcterms:created>
  <dcterms:modified xsi:type="dcterms:W3CDTF">2017-12-14T07:55:00Z</dcterms:modified>
</cp:coreProperties>
</file>