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031F0" w:rsidRDefault="00F031F0" w:rsidP="00F031F0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F031F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Государственный мониторинг земель Ставропольского края</w:t>
      </w:r>
    </w:p>
    <w:p w:rsidR="007A49E5" w:rsidRDefault="007A49E5" w:rsidP="007A49E5">
      <w:pPr>
        <w:ind w:firstLine="709"/>
        <w:jc w:val="both"/>
        <w:rPr>
          <w:rFonts w:cs="Times New Roman"/>
          <w:sz w:val="28"/>
          <w:szCs w:val="28"/>
        </w:rPr>
      </w:pPr>
    </w:p>
    <w:p w:rsidR="007A49E5" w:rsidRPr="007A49E5" w:rsidRDefault="007A49E5" w:rsidP="007A49E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7A49E5">
        <w:rPr>
          <w:rFonts w:ascii="Segoe UI" w:hAnsi="Segoe UI" w:cs="Segoe UI"/>
          <w:sz w:val="22"/>
          <w:szCs w:val="22"/>
        </w:rPr>
        <w:t>Одной из основных функций Федеральной службы государственной регистрации, кадастра и картографии является государственный мониторинг земель (за исключением земель сельскохозяйственного назначения). Реализация данных полномочий осуществляется в соответствии с приказом Минэкономразвития России от 26.12.2014 № 852.</w:t>
      </w:r>
    </w:p>
    <w:p w:rsidR="007A49E5" w:rsidRPr="007A49E5" w:rsidRDefault="007A49E5" w:rsidP="007A49E5">
      <w:pPr>
        <w:pStyle w:val="af2"/>
        <w:suppressAutoHyphens/>
        <w:ind w:firstLine="708"/>
        <w:jc w:val="both"/>
        <w:rPr>
          <w:rFonts w:ascii="Segoe UI" w:hAnsi="Segoe UI" w:cs="Segoe UI"/>
          <w:sz w:val="22"/>
          <w:szCs w:val="22"/>
        </w:rPr>
      </w:pPr>
      <w:r w:rsidRPr="007A49E5">
        <w:rPr>
          <w:rFonts w:ascii="Segoe UI" w:hAnsi="Segoe UI" w:cs="Segoe UI"/>
          <w:sz w:val="22"/>
          <w:szCs w:val="22"/>
        </w:rPr>
        <w:t xml:space="preserve">Сбор информации о состоянии и использовании земель Ставропольского края, воздействии природных и антропогенных факторов, а также обработку и хранение данной информации, осуществляет Управление Росреестра по Ставропольскому краю. </w:t>
      </w:r>
    </w:p>
    <w:p w:rsidR="007A49E5" w:rsidRPr="007A49E5" w:rsidRDefault="007A49E5" w:rsidP="007A49E5">
      <w:pPr>
        <w:pStyle w:val="af2"/>
        <w:suppressAutoHyphens/>
        <w:ind w:firstLine="708"/>
        <w:jc w:val="both"/>
        <w:rPr>
          <w:rFonts w:ascii="Segoe UI" w:hAnsi="Segoe UI" w:cs="Segoe UI"/>
          <w:sz w:val="22"/>
          <w:szCs w:val="22"/>
        </w:rPr>
      </w:pPr>
      <w:r w:rsidRPr="007A49E5">
        <w:rPr>
          <w:rFonts w:ascii="Segoe UI" w:hAnsi="Segoe UI" w:cs="Segoe UI"/>
          <w:sz w:val="22"/>
          <w:szCs w:val="22"/>
        </w:rPr>
        <w:t>Результатом мониторинга земель Ставропольского края за 2016 год стали следующие количественные и качественные характеристики.</w:t>
      </w:r>
    </w:p>
    <w:p w:rsidR="007A49E5" w:rsidRDefault="007A49E5" w:rsidP="007A49E5">
      <w:pPr>
        <w:ind w:firstLine="708"/>
        <w:jc w:val="both"/>
        <w:rPr>
          <w:rFonts w:ascii="Segoe UI" w:hAnsi="Segoe UI" w:cs="Segoe UI"/>
          <w:b/>
          <w:sz w:val="22"/>
          <w:szCs w:val="22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В плане возможного развития чрезвычайных ситуаций наибольшую опасность по-прежнему представляют оползневые процессы, которые являются главными объектами мониторинга на территории Ставропольского края, как процессы, оказывающие наибольшее негативное воздействие на народно-хозяйственные объекты и объекты инфраструктуры</w:t>
      </w:r>
      <w:r w:rsidR="00E660E4">
        <w:rPr>
          <w:rFonts w:ascii="Segoe UI" w:eastAsia="Times New Roman" w:hAnsi="Segoe UI" w:cs="Segoe UI"/>
          <w:sz w:val="22"/>
          <w:szCs w:val="22"/>
          <w:lang w:eastAsia="ru-RU"/>
        </w:rPr>
        <w:t>.</w:t>
      </w:r>
      <w:r w:rsidRPr="007A49E5">
        <w:rPr>
          <w:rFonts w:ascii="Segoe UI" w:hAnsi="Segoe UI" w:cs="Segoe UI"/>
          <w:b/>
          <w:sz w:val="22"/>
          <w:szCs w:val="22"/>
        </w:rPr>
        <w:t xml:space="preserve"> </w:t>
      </w:r>
    </w:p>
    <w:p w:rsidR="007A49E5" w:rsidRPr="007A49E5" w:rsidRDefault="007A49E5" w:rsidP="007A49E5">
      <w:pPr>
        <w:autoSpaceDE w:val="0"/>
        <w:autoSpaceDN w:val="0"/>
        <w:adjustRightInd w:val="0"/>
        <w:ind w:firstLine="709"/>
        <w:jc w:val="both"/>
        <w:outlineLvl w:val="1"/>
        <w:rPr>
          <w:rFonts w:ascii="Segoe UI" w:eastAsia="Times New Roman" w:hAnsi="Segoe UI" w:cs="Segoe UI"/>
          <w:sz w:val="22"/>
          <w:szCs w:val="22"/>
          <w:lang w:eastAsia="ru-RU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Основными факторами активизации оползневых процессов в пределах Ставропольского края являются: метеорологический (количество атмосферных осадков), гидрогеологический (режим уровня грунтовых вод) и техногенный.</w:t>
      </w:r>
    </w:p>
    <w:p w:rsidR="00E660E4" w:rsidRDefault="007A49E5" w:rsidP="007A49E5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7A49E5">
        <w:rPr>
          <w:rFonts w:ascii="Segoe UI" w:hAnsi="Segoe UI" w:cs="Segoe UI"/>
          <w:sz w:val="22"/>
          <w:szCs w:val="22"/>
        </w:rPr>
        <w:t xml:space="preserve">Очень сильный дождь – дождь с количеством осадков не менее </w:t>
      </w:r>
      <w:smartTag w:uri="urn:schemas-microsoft-com:office:smarttags" w:element="metricconverter">
        <w:smartTagPr>
          <w:attr w:name="ProductID" w:val="50 мм"/>
        </w:smartTagPr>
        <w:r w:rsidRPr="007A49E5">
          <w:rPr>
            <w:rFonts w:ascii="Segoe UI" w:hAnsi="Segoe UI" w:cs="Segoe UI"/>
            <w:sz w:val="22"/>
            <w:szCs w:val="22"/>
          </w:rPr>
          <w:t>50 мм</w:t>
        </w:r>
      </w:smartTag>
      <w:r w:rsidRPr="007A49E5">
        <w:rPr>
          <w:rFonts w:ascii="Segoe UI" w:hAnsi="Segoe UI" w:cs="Segoe UI"/>
          <w:sz w:val="22"/>
          <w:szCs w:val="22"/>
        </w:rPr>
        <w:t xml:space="preserve"> за период не более 12 часов, наблюдается ежегодно в разных районах Ставропольского края, но наиболее уязвимыми являются центральные и юго-западные районы: </w:t>
      </w:r>
      <w:proofErr w:type="spellStart"/>
      <w:r w:rsidRPr="007A49E5">
        <w:rPr>
          <w:rFonts w:ascii="Segoe UI" w:hAnsi="Segoe UI" w:cs="Segoe UI"/>
          <w:sz w:val="22"/>
          <w:szCs w:val="22"/>
        </w:rPr>
        <w:t>Кочубеевский</w:t>
      </w:r>
      <w:proofErr w:type="spellEnd"/>
      <w:r w:rsidRPr="007A49E5">
        <w:rPr>
          <w:rFonts w:ascii="Segoe UI" w:hAnsi="Segoe UI" w:cs="Segoe UI"/>
          <w:sz w:val="22"/>
          <w:szCs w:val="22"/>
        </w:rPr>
        <w:t>, Предгорный, Советский, Георгиевский, Минераловодский районы</w:t>
      </w:r>
      <w:r w:rsidR="00E660E4">
        <w:rPr>
          <w:rFonts w:ascii="Segoe UI" w:hAnsi="Segoe UI" w:cs="Segoe UI"/>
          <w:sz w:val="22"/>
          <w:szCs w:val="22"/>
        </w:rPr>
        <w:t>.</w:t>
      </w:r>
      <w:r w:rsidRPr="007A49E5">
        <w:rPr>
          <w:rFonts w:ascii="Segoe UI" w:hAnsi="Segoe UI" w:cs="Segoe UI"/>
          <w:sz w:val="22"/>
          <w:szCs w:val="22"/>
        </w:rPr>
        <w:t xml:space="preserve"> </w:t>
      </w:r>
    </w:p>
    <w:p w:rsidR="007A49E5" w:rsidRPr="007A49E5" w:rsidRDefault="007A49E5" w:rsidP="007A49E5">
      <w:pPr>
        <w:ind w:firstLine="708"/>
        <w:jc w:val="both"/>
        <w:rPr>
          <w:rFonts w:ascii="Segoe UI" w:eastAsia="Times New Roman" w:hAnsi="Segoe UI" w:cs="Segoe UI"/>
          <w:sz w:val="22"/>
          <w:szCs w:val="22"/>
          <w:lang w:eastAsia="ru-RU"/>
        </w:rPr>
      </w:pPr>
      <w:bookmarkStart w:id="0" w:name="_GoBack"/>
      <w:bookmarkEnd w:id="0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Интенсивность воздействия на оползневые процессы метеорологического и гидрогеологического режимообразующих факторов в 2016 г. характеризуется как средняя.</w:t>
      </w:r>
    </w:p>
    <w:p w:rsidR="007A49E5" w:rsidRPr="007A49E5" w:rsidRDefault="007A49E5" w:rsidP="007A49E5">
      <w:pPr>
        <w:autoSpaceDE w:val="0"/>
        <w:autoSpaceDN w:val="0"/>
        <w:adjustRightInd w:val="0"/>
        <w:ind w:firstLine="709"/>
        <w:jc w:val="both"/>
        <w:outlineLvl w:val="1"/>
        <w:rPr>
          <w:rFonts w:ascii="Segoe UI" w:eastAsia="Times New Roman" w:hAnsi="Segoe UI" w:cs="Segoe UI"/>
          <w:sz w:val="22"/>
          <w:szCs w:val="22"/>
          <w:lang w:eastAsia="ru-RU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Всего на территории Ставропольского края зафиксировано 11 случаев воздействия оползневых процессов на народно-хозяйственные объекты, из них 5 населенных пунктов (2 города и 3 сельских населенных пункта), 0,425 км автодорог с твердым покрытием, 0,287 автодорог без покрытия, 0,54 км ЛЭП, 0,05 км газопроводы. </w:t>
      </w:r>
      <w:proofErr w:type="gramStart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Зафиксированы случаи деформации хозяйственных объектов в 4-х населённых пунктах: г. Ставрополь, ст. Новотроицкая, с. Верхняя Татарка и с. Султан. </w:t>
      </w:r>
      <w:proofErr w:type="gramEnd"/>
    </w:p>
    <w:p w:rsidR="007A49E5" w:rsidRPr="007A49E5" w:rsidRDefault="007A49E5" w:rsidP="007A49E5">
      <w:pPr>
        <w:autoSpaceDE w:val="0"/>
        <w:autoSpaceDN w:val="0"/>
        <w:adjustRightInd w:val="0"/>
        <w:ind w:firstLine="709"/>
        <w:jc w:val="both"/>
        <w:outlineLvl w:val="1"/>
        <w:rPr>
          <w:rFonts w:ascii="Segoe UI" w:eastAsia="Times New Roman" w:hAnsi="Segoe UI" w:cs="Segoe UI"/>
          <w:sz w:val="22"/>
          <w:szCs w:val="22"/>
          <w:highlight w:val="yellow"/>
          <w:lang w:eastAsia="ru-RU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Активность оползневых процессов в регионе «Скифская плита и </w:t>
      </w:r>
      <w:proofErr w:type="spellStart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Предкавказские</w:t>
      </w:r>
      <w:proofErr w:type="spellEnd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передовые прогибы», а также в целом по Ставропольскому краю, оценивается как «низкая». Уровень оползневой активности снижается второй год подряд.  Активизации оползней в 2016г., в основном, связаны с антропогенным фактором - негативными техногенными нарушениями устойчивости склонов. </w:t>
      </w:r>
    </w:p>
    <w:p w:rsidR="007A49E5" w:rsidRPr="007A49E5" w:rsidRDefault="007A49E5" w:rsidP="007A49E5">
      <w:pPr>
        <w:autoSpaceDE w:val="0"/>
        <w:autoSpaceDN w:val="0"/>
        <w:adjustRightInd w:val="0"/>
        <w:ind w:firstLine="709"/>
        <w:jc w:val="both"/>
        <w:outlineLvl w:val="1"/>
        <w:rPr>
          <w:rFonts w:ascii="Segoe UI" w:eastAsia="Times New Roman" w:hAnsi="Segoe UI" w:cs="Segoe UI"/>
          <w:sz w:val="22"/>
          <w:szCs w:val="22"/>
          <w:lang w:eastAsia="ru-RU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Для обеспечения </w:t>
      </w:r>
      <w:proofErr w:type="gramStart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контроля за</w:t>
      </w:r>
      <w:proofErr w:type="gramEnd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состоянием оползневых процессов на площади потенциально-оползневой территории Кавказских Минеральных Вод в 2016 г. наряду с маршрутными наблюдениями проводились аэровизуальные наблюдения оползневых зон. Аэровизуальные наблюдения позволили более точно оценить степень пораженности территории оползневыми процессами, обнаружить и дать оценку степени активизации оползневого процесса, оконтурить площади проявлений. На территории Кавказских Минеральных Вод активность оползневого процесса в пределах всех таксонов инженерно-</w:t>
      </w: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lastRenderedPageBreak/>
        <w:t xml:space="preserve">геологического районирования оценивается как «низкая». Всего по результатам плановых работ на территории КМВ выявлено 8 активных оползней. </w:t>
      </w:r>
    </w:p>
    <w:p w:rsidR="007A49E5" w:rsidRPr="007A49E5" w:rsidRDefault="007A49E5" w:rsidP="007A49E5">
      <w:pPr>
        <w:autoSpaceDE w:val="0"/>
        <w:autoSpaceDN w:val="0"/>
        <w:adjustRightInd w:val="0"/>
        <w:ind w:firstLine="709"/>
        <w:jc w:val="both"/>
        <w:outlineLvl w:val="1"/>
        <w:rPr>
          <w:rFonts w:ascii="Segoe UI" w:eastAsia="Times New Roman" w:hAnsi="Segoe UI" w:cs="Segoe UI"/>
          <w:sz w:val="22"/>
          <w:szCs w:val="22"/>
          <w:lang w:eastAsia="ru-RU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В пределах Пятигорской оползневой зоны зафиксировано два проявления, активизация в пределах которых отмечалась в головной части оползней. На момент обследования данные оползни угрозы не представляли.</w:t>
      </w:r>
    </w:p>
    <w:p w:rsidR="007A49E5" w:rsidRPr="007A49E5" w:rsidRDefault="007A49E5" w:rsidP="007A49E5">
      <w:pPr>
        <w:autoSpaceDE w:val="0"/>
        <w:autoSpaceDN w:val="0"/>
        <w:adjustRightInd w:val="0"/>
        <w:ind w:firstLine="709"/>
        <w:jc w:val="both"/>
        <w:outlineLvl w:val="1"/>
        <w:rPr>
          <w:rFonts w:ascii="Segoe UI" w:eastAsia="Times New Roman" w:hAnsi="Segoe UI" w:cs="Segoe UI"/>
          <w:sz w:val="22"/>
          <w:szCs w:val="22"/>
          <w:lang w:eastAsia="ru-RU"/>
        </w:rPr>
      </w:pPr>
      <w:proofErr w:type="gramStart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По результатам инженерно-геологического обследования на территории Кавказских Минеральных Вод в результате негативного воздействия оползневого процесса установлено продолжение деформаций домовладений по ул. Овражная № 8,10 п. Нарзанный городской округ Кисловодск, в пределах «Кисловодской площади» выявлены деформации 5 домовладений, а также выявлено воздействие оползневых процессов на линейные сооружения: прогрессирующие деформации н</w:t>
      </w:r>
      <w:r w:rsidRPr="007A49E5">
        <w:rPr>
          <w:rFonts w:ascii="Segoe UI" w:hAnsi="Segoe UI" w:cs="Segoe UI"/>
          <w:sz w:val="22"/>
          <w:szCs w:val="22"/>
        </w:rPr>
        <w:t xml:space="preserve">а участке «Олимпийском» </w:t>
      </w: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полотна автодороги п. </w:t>
      </w:r>
      <w:proofErr w:type="spellStart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Белореченский</w:t>
      </w:r>
      <w:proofErr w:type="spellEnd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- верхний спортивный комплекс на интервале 100</w:t>
      </w:r>
      <w:proofErr w:type="gramEnd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м. </w:t>
      </w:r>
    </w:p>
    <w:p w:rsidR="007A49E5" w:rsidRPr="007A49E5" w:rsidRDefault="007A49E5" w:rsidP="007A49E5">
      <w:pPr>
        <w:autoSpaceDE w:val="0"/>
        <w:autoSpaceDN w:val="0"/>
        <w:adjustRightInd w:val="0"/>
        <w:ind w:firstLine="709"/>
        <w:jc w:val="both"/>
        <w:outlineLvl w:val="1"/>
        <w:rPr>
          <w:rFonts w:ascii="Segoe UI" w:eastAsia="Times New Roman" w:hAnsi="Segoe UI" w:cs="Segoe UI"/>
          <w:sz w:val="22"/>
          <w:szCs w:val="22"/>
          <w:lang w:eastAsia="ru-RU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По прогнозам в 2017 году на территории Ставропольского края ожидается «низкий» уровень оползневой активности, при этом он будет ниже среднемноголетних значений. В регионе «Скифская плита и </w:t>
      </w:r>
      <w:proofErr w:type="spellStart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Предкавказские</w:t>
      </w:r>
      <w:proofErr w:type="spellEnd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передовые прогибы», в пределах всех геоморфологических областей «Ставропольская возвышенность», «</w:t>
      </w:r>
      <w:proofErr w:type="spellStart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Воровсколесские</w:t>
      </w:r>
      <w:proofErr w:type="spellEnd"/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высоты» и «Кубанская равнина» ожидаемый уровень оползневой активности – «низкий». По сравнению с 2016г. оползневая активность повысится примерно на треть и приблизительно достигнет уровня 2015 г. Этому будет способствовать увеличение влажности оползневых отложений за счёт атмосферных осадков. </w:t>
      </w: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ab/>
        <w:t xml:space="preserve">Наиболее вероятную опасность по-прежнему будут представлять оползни, испытывающие значительные техногенные нагрузки, где причиной оползневых смещений может послужить антропогенный фактор. </w:t>
      </w:r>
    </w:p>
    <w:p w:rsidR="007A49E5" w:rsidRPr="007A49E5" w:rsidRDefault="007A49E5" w:rsidP="007A49E5">
      <w:pPr>
        <w:ind w:firstLine="709"/>
        <w:jc w:val="both"/>
        <w:rPr>
          <w:rFonts w:ascii="Segoe UI" w:eastAsia="Times New Roman" w:hAnsi="Segoe UI" w:cs="Segoe UI"/>
          <w:sz w:val="22"/>
          <w:szCs w:val="22"/>
          <w:highlight w:val="yellow"/>
          <w:lang w:eastAsia="ru-RU"/>
        </w:rPr>
      </w:pP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>Одним из основных механизмов мониторинга качественных характеристик использования земель, направленным на выявление, предотвращение и пресечение нарушений законодательства в сфере землепользования и обеспечение соблюдения субъектами хозяйственной и иной деятельности требований нормативных правовых актов, является государственный и муниципальный надзор.</w:t>
      </w:r>
      <w:r w:rsidRPr="007A49E5">
        <w:rPr>
          <w:rFonts w:ascii="Segoe UI" w:eastAsia="Times New Roman" w:hAnsi="Segoe UI" w:cs="Segoe UI"/>
          <w:sz w:val="22"/>
          <w:szCs w:val="22"/>
          <w:highlight w:val="yellow"/>
          <w:lang w:eastAsia="ru-RU"/>
        </w:rPr>
        <w:t xml:space="preserve">  </w:t>
      </w:r>
    </w:p>
    <w:p w:rsidR="007A49E5" w:rsidRPr="007A49E5" w:rsidRDefault="007A49E5" w:rsidP="007A49E5">
      <w:pPr>
        <w:ind w:firstLine="709"/>
        <w:jc w:val="both"/>
        <w:rPr>
          <w:rFonts w:ascii="Segoe UI" w:eastAsia="Calibri" w:hAnsi="Segoe UI" w:cs="Segoe UI"/>
          <w:sz w:val="22"/>
          <w:szCs w:val="22"/>
          <w:highlight w:val="yellow"/>
        </w:rPr>
      </w:pPr>
      <w:r w:rsidRPr="007A49E5">
        <w:rPr>
          <w:rFonts w:ascii="Segoe UI" w:eastAsia="Calibri" w:hAnsi="Segoe UI" w:cs="Segoe UI"/>
          <w:sz w:val="22"/>
          <w:szCs w:val="22"/>
        </w:rPr>
        <w:t xml:space="preserve">В рамках надзорных функций в 2016 году Департаментом  </w:t>
      </w:r>
      <w:proofErr w:type="spellStart"/>
      <w:r w:rsidRPr="007A49E5">
        <w:rPr>
          <w:rFonts w:ascii="Segoe UI" w:eastAsia="Calibri" w:hAnsi="Segoe UI" w:cs="Segoe UI"/>
          <w:sz w:val="22"/>
          <w:szCs w:val="22"/>
        </w:rPr>
        <w:t>Росприроднадзора</w:t>
      </w:r>
      <w:proofErr w:type="spellEnd"/>
      <w:r w:rsidRPr="007A49E5">
        <w:rPr>
          <w:rFonts w:ascii="Segoe UI" w:eastAsia="Calibri" w:hAnsi="Segoe UI" w:cs="Segoe UI"/>
          <w:sz w:val="22"/>
          <w:szCs w:val="22"/>
        </w:rPr>
        <w:t xml:space="preserve"> по Северо-Кавказскому федеральному округу выявлено несанкционированное размещение твердых бытовых отходов на общей площади 0,02 тыс. га. По результатам выявленных нарушений возбуждены дела об административных правонарушениях.</w:t>
      </w:r>
    </w:p>
    <w:p w:rsidR="007A49E5" w:rsidRPr="007A49E5" w:rsidRDefault="007A49E5" w:rsidP="007A49E5">
      <w:pPr>
        <w:ind w:firstLine="709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7A49E5">
        <w:rPr>
          <w:rFonts w:ascii="Segoe UI" w:hAnsi="Segoe UI" w:cs="Segoe UI"/>
          <w:snapToGrid w:val="0"/>
          <w:sz w:val="22"/>
          <w:szCs w:val="22"/>
        </w:rPr>
        <w:t>Также в рамках надзорных мероприятий</w:t>
      </w: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за использованием земель исходя из их целевого назначения и разрешенного использования, осуществляемыми государственными и муниципальными органами власти, </w:t>
      </w:r>
      <w:r w:rsidRPr="007A49E5">
        <w:rPr>
          <w:rFonts w:ascii="Segoe UI" w:hAnsi="Segoe UI" w:cs="Segoe UI"/>
          <w:sz w:val="22"/>
          <w:szCs w:val="22"/>
        </w:rPr>
        <w:t>по результатам проверок</w:t>
      </w:r>
      <w:r w:rsidRPr="007A49E5">
        <w:rPr>
          <w:rFonts w:ascii="Segoe UI" w:eastAsia="Times New Roman" w:hAnsi="Segoe UI" w:cs="Segoe UI"/>
          <w:sz w:val="22"/>
          <w:szCs w:val="22"/>
          <w:lang w:eastAsia="ru-RU"/>
        </w:rPr>
        <w:t xml:space="preserve"> в 2016 году на территории Ставропольского края </w:t>
      </w:r>
      <w:r w:rsidRPr="007A49E5">
        <w:rPr>
          <w:rFonts w:ascii="Segoe UI" w:hAnsi="Segoe UI" w:cs="Segoe UI"/>
          <w:sz w:val="22"/>
          <w:szCs w:val="22"/>
        </w:rPr>
        <w:t>в действиях физических, должностных и юридических лиц, а также индивидуальных предпринимателей выявлено 351 нарушение земельного законодательства в части нецелевого использования земель и не использовании в соответствии с установленным</w:t>
      </w:r>
      <w:proofErr w:type="gramEnd"/>
      <w:r w:rsidRPr="007A49E5">
        <w:rPr>
          <w:rFonts w:ascii="Segoe UI" w:hAnsi="Segoe UI" w:cs="Segoe UI"/>
          <w:sz w:val="22"/>
          <w:szCs w:val="22"/>
        </w:rPr>
        <w:t xml:space="preserve"> видом разрешенного использования (за исключением земель сельскохозяйственного назначения). </w:t>
      </w:r>
    </w:p>
    <w:p w:rsidR="007A49E5" w:rsidRPr="007A49E5" w:rsidRDefault="007A49E5" w:rsidP="007A49E5">
      <w:pPr>
        <w:ind w:firstLine="709"/>
        <w:jc w:val="both"/>
        <w:rPr>
          <w:rFonts w:ascii="Segoe UI" w:hAnsi="Segoe UI" w:cs="Segoe UI"/>
          <w:snapToGrid w:val="0"/>
          <w:sz w:val="22"/>
          <w:szCs w:val="22"/>
          <w:highlight w:val="yellow"/>
        </w:rPr>
      </w:pPr>
      <w:r w:rsidRPr="007A49E5">
        <w:rPr>
          <w:rFonts w:ascii="Segoe UI" w:hAnsi="Segoe UI" w:cs="Segoe UI"/>
          <w:snapToGrid w:val="0"/>
          <w:sz w:val="22"/>
          <w:szCs w:val="22"/>
        </w:rPr>
        <w:t xml:space="preserve">Зафиксированы нарушения законодательства по охране объектов культурного наследия в отношении объекта культурного наследия федерального значения «Комплекс памятников, ранний железный век, </w:t>
      </w:r>
      <w:r w:rsidRPr="007A49E5">
        <w:rPr>
          <w:rFonts w:ascii="Segoe UI" w:hAnsi="Segoe UI" w:cs="Segoe UI"/>
          <w:snapToGrid w:val="0"/>
          <w:sz w:val="22"/>
          <w:szCs w:val="22"/>
          <w:lang w:val="en-US"/>
        </w:rPr>
        <w:t>IV</w:t>
      </w:r>
      <w:r w:rsidRPr="007A49E5">
        <w:rPr>
          <w:rFonts w:ascii="Segoe UI" w:hAnsi="Segoe UI" w:cs="Segoe UI"/>
          <w:snapToGrid w:val="0"/>
          <w:sz w:val="22"/>
          <w:szCs w:val="22"/>
        </w:rPr>
        <w:t>-</w:t>
      </w:r>
      <w:r w:rsidRPr="007A49E5">
        <w:rPr>
          <w:rFonts w:ascii="Segoe UI" w:hAnsi="Segoe UI" w:cs="Segoe UI"/>
          <w:snapToGrid w:val="0"/>
          <w:sz w:val="22"/>
          <w:szCs w:val="22"/>
          <w:lang w:val="en-US"/>
        </w:rPr>
        <w:t>IX</w:t>
      </w:r>
      <w:r w:rsidRPr="007A49E5">
        <w:rPr>
          <w:rFonts w:ascii="Segoe UI" w:hAnsi="Segoe UI" w:cs="Segoe UI"/>
          <w:snapToGrid w:val="0"/>
          <w:sz w:val="22"/>
          <w:szCs w:val="22"/>
        </w:rPr>
        <w:t xml:space="preserve"> вв. н.э.: 1-е Татарское городище; 2-е Татарское городище» и на территории, прилегающей к его границам.</w:t>
      </w:r>
    </w:p>
    <w:p w:rsidR="007A49E5" w:rsidRDefault="007A49E5" w:rsidP="007A49E5">
      <w:pPr>
        <w:ind w:firstLine="709"/>
        <w:jc w:val="both"/>
        <w:rPr>
          <w:rFonts w:ascii="Segoe UI" w:hAnsi="Segoe UI" w:cs="Segoe UI"/>
          <w:snapToGrid w:val="0"/>
          <w:sz w:val="22"/>
          <w:szCs w:val="22"/>
        </w:rPr>
      </w:pPr>
      <w:r w:rsidRPr="007A49E5">
        <w:rPr>
          <w:rFonts w:ascii="Segoe UI" w:hAnsi="Segoe UI" w:cs="Segoe UI"/>
          <w:snapToGrid w:val="0"/>
          <w:sz w:val="22"/>
          <w:szCs w:val="22"/>
        </w:rPr>
        <w:t>В рамках мероприятий по сохранению памятников истории и культуры профинансированы мероприятия по сохранению памятников истории и культуры</w:t>
      </w:r>
      <w:proofErr w:type="gramStart"/>
      <w:r w:rsidRPr="007A49E5">
        <w:rPr>
          <w:rFonts w:ascii="Segoe UI" w:hAnsi="Segoe UI" w:cs="Segoe UI"/>
          <w:snapToGrid w:val="0"/>
          <w:sz w:val="22"/>
          <w:szCs w:val="22"/>
        </w:rPr>
        <w:t xml:space="preserve"> :</w:t>
      </w:r>
      <w:proofErr w:type="gramEnd"/>
      <w:r w:rsidRPr="007A49E5">
        <w:rPr>
          <w:rFonts w:ascii="Segoe UI" w:hAnsi="Segoe UI" w:cs="Segoe UI"/>
          <w:snapToGrid w:val="0"/>
          <w:sz w:val="22"/>
          <w:szCs w:val="22"/>
        </w:rPr>
        <w:t xml:space="preserve"> «Грязелечебница им. Семашко» (г. Ессентуки), «Комплекс Главных нарзанных ванн, 1901 г.» (г. Кисловодск), «Здание цирка</w:t>
      </w:r>
      <w:proofErr w:type="gramStart"/>
      <w:r w:rsidRPr="007A49E5">
        <w:rPr>
          <w:rFonts w:ascii="Segoe UI" w:hAnsi="Segoe UI" w:cs="Segoe UI"/>
          <w:snapToGrid w:val="0"/>
          <w:sz w:val="22"/>
          <w:szCs w:val="22"/>
        </w:rPr>
        <w:t>»(</w:t>
      </w:r>
      <w:proofErr w:type="gramEnd"/>
      <w:r w:rsidRPr="007A49E5">
        <w:rPr>
          <w:rFonts w:ascii="Segoe UI" w:hAnsi="Segoe UI" w:cs="Segoe UI"/>
          <w:snapToGrid w:val="0"/>
          <w:sz w:val="22"/>
          <w:szCs w:val="22"/>
        </w:rPr>
        <w:t xml:space="preserve">г. Кисловодск), «Санаторий им. Орджоникидзе» 1938 г. (г. Кисловодск), «Нарзанная </w:t>
      </w:r>
      <w:proofErr w:type="spellStart"/>
      <w:r w:rsidRPr="007A49E5">
        <w:rPr>
          <w:rFonts w:ascii="Segoe UI" w:hAnsi="Segoe UI" w:cs="Segoe UI"/>
          <w:snapToGrid w:val="0"/>
          <w:sz w:val="22"/>
          <w:szCs w:val="22"/>
        </w:rPr>
        <w:t>галлерея</w:t>
      </w:r>
      <w:proofErr w:type="spellEnd"/>
      <w:r w:rsidRPr="007A49E5">
        <w:rPr>
          <w:rFonts w:ascii="Segoe UI" w:hAnsi="Segoe UI" w:cs="Segoe UI"/>
          <w:snapToGrid w:val="0"/>
          <w:sz w:val="22"/>
          <w:szCs w:val="22"/>
        </w:rPr>
        <w:t xml:space="preserve">» 1848 г. (г. Кисловодск), «Пушкинская </w:t>
      </w:r>
      <w:proofErr w:type="spellStart"/>
      <w:r w:rsidRPr="007A49E5">
        <w:rPr>
          <w:rFonts w:ascii="Segoe UI" w:hAnsi="Segoe UI" w:cs="Segoe UI"/>
          <w:snapToGrid w:val="0"/>
          <w:sz w:val="22"/>
          <w:szCs w:val="22"/>
        </w:rPr>
        <w:t>галлерея</w:t>
      </w:r>
      <w:proofErr w:type="spellEnd"/>
      <w:r w:rsidRPr="007A49E5">
        <w:rPr>
          <w:rFonts w:ascii="Segoe UI" w:hAnsi="Segoe UI" w:cs="Segoe UI"/>
          <w:snapToGrid w:val="0"/>
          <w:sz w:val="22"/>
          <w:szCs w:val="22"/>
        </w:rPr>
        <w:t>» (г. Железноводск), «Церковь Покрова Пресвятой Богородицы» (г. Железноводск).</w:t>
      </w:r>
    </w:p>
    <w:p w:rsidR="007A49E5" w:rsidRPr="007A49E5" w:rsidRDefault="007A49E5" w:rsidP="007A49E5">
      <w:pPr>
        <w:ind w:firstLine="709"/>
        <w:jc w:val="both"/>
        <w:rPr>
          <w:rFonts w:ascii="Segoe UI" w:hAnsi="Segoe UI" w:cs="Segoe UI"/>
          <w:snapToGrid w:val="0"/>
          <w:sz w:val="22"/>
          <w:szCs w:val="22"/>
        </w:rPr>
      </w:pP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65A1B" w:rsidRDefault="00865A1B" w:rsidP="00865A1B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556 488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556 328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556 362</w:t>
      </w:r>
    </w:p>
    <w:p w:rsidR="007B30B6" w:rsidRPr="007779A5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Pr="00715BF7" w:rsidRDefault="008658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65A1B" w:rsidRPr="00715BF7" w:rsidRDefault="008658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8658D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D8" w:rsidRDefault="008658D8">
      <w:r>
        <w:separator/>
      </w:r>
    </w:p>
  </w:endnote>
  <w:endnote w:type="continuationSeparator" w:id="0">
    <w:p w:rsidR="008658D8" w:rsidRDefault="0086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D8" w:rsidRDefault="008658D8">
      <w:r>
        <w:separator/>
      </w:r>
    </w:p>
  </w:footnote>
  <w:footnote w:type="continuationSeparator" w:id="0">
    <w:p w:rsidR="008658D8" w:rsidRDefault="0086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E4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E5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8D8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8469C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660E4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971"/>
    <w:rsid w:val="00F031F0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2">
    <w:name w:val="Body Text"/>
    <w:basedOn w:val="a"/>
    <w:link w:val="af3"/>
    <w:rsid w:val="007A49E5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Основной текст Знак"/>
    <w:basedOn w:val="a0"/>
    <w:link w:val="af2"/>
    <w:rsid w:val="007A4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2">
    <w:name w:val="Body Text"/>
    <w:basedOn w:val="a"/>
    <w:link w:val="af3"/>
    <w:rsid w:val="007A49E5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Основной текст Знак"/>
    <w:basedOn w:val="a0"/>
    <w:link w:val="af2"/>
    <w:rsid w:val="007A4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5A1A-19EA-4A9E-AC4B-AB1B85F2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Иванова Марина Александровна</cp:lastModifiedBy>
  <cp:revision>31</cp:revision>
  <cp:lastPrinted>2015-04-20T06:25:00Z</cp:lastPrinted>
  <dcterms:created xsi:type="dcterms:W3CDTF">2015-06-01T08:41:00Z</dcterms:created>
  <dcterms:modified xsi:type="dcterms:W3CDTF">2017-07-05T12:24:00Z</dcterms:modified>
</cp:coreProperties>
</file>